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96A4C2" w14:textId="43FEFFE8" w:rsidR="003D7A35" w:rsidRDefault="003D7A35">
      <w:pPr>
        <w:rPr>
          <w:rFonts w:ascii="Palatino Linotype" w:hAnsi="Palatino Linotype"/>
          <w:b/>
          <w:bCs/>
          <w:sz w:val="18"/>
          <w:szCs w:val="18"/>
        </w:rPr>
      </w:pPr>
      <w:r>
        <w:rPr>
          <w:rFonts w:ascii="Palatino Linotype" w:hAnsi="Palatino Linotype"/>
          <w:b/>
          <w:bCs/>
          <w:noProof/>
          <w:sz w:val="18"/>
          <w:szCs w:val="18"/>
        </w:rPr>
        <w:drawing>
          <wp:inline distT="0" distB="0" distL="0" distR="0" wp14:anchorId="28AC2FAA" wp14:editId="3624ED08">
            <wp:extent cx="5274310" cy="82905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9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FB540" w14:textId="40A1ADF7" w:rsidR="00D1653D" w:rsidRDefault="003D7A35">
      <w:pPr>
        <w:rPr>
          <w:rFonts w:ascii="Palatino Linotype" w:hAnsi="Palatino Linotype"/>
          <w:sz w:val="18"/>
          <w:szCs w:val="18"/>
        </w:rPr>
      </w:pPr>
      <w:bookmarkStart w:id="0" w:name="_Hlk124955924"/>
      <w:r w:rsidRPr="003D7A35">
        <w:rPr>
          <w:rFonts w:ascii="Palatino Linotype" w:hAnsi="Palatino Linotype"/>
          <w:b/>
          <w:bCs/>
          <w:sz w:val="18"/>
          <w:szCs w:val="18"/>
        </w:rPr>
        <w:t>Fig</w:t>
      </w:r>
      <w:r w:rsidR="001257A4">
        <w:rPr>
          <w:rFonts w:ascii="Palatino Linotype" w:hAnsi="Palatino Linotype"/>
          <w:b/>
          <w:bCs/>
          <w:sz w:val="18"/>
          <w:szCs w:val="18"/>
        </w:rPr>
        <w:t>.</w:t>
      </w:r>
      <w:r>
        <w:rPr>
          <w:rFonts w:ascii="Palatino Linotype" w:hAnsi="Palatino Linotype"/>
          <w:b/>
          <w:bCs/>
          <w:sz w:val="18"/>
          <w:szCs w:val="18"/>
        </w:rPr>
        <w:t>S1</w:t>
      </w:r>
      <w:r w:rsidRPr="003D7A35">
        <w:rPr>
          <w:rFonts w:ascii="Palatino Linotype" w:hAnsi="Palatino Linotype"/>
          <w:sz w:val="18"/>
          <w:szCs w:val="18"/>
        </w:rPr>
        <w:t xml:space="preserve"> EMT and angiogenesis related genes: (A) EMT related genes in dMMR and pMMR; (B) angiogenesis related genes in dMMR and pMMR; (C) intersection of EMT and angiogenesis related genes </w:t>
      </w:r>
      <w:r w:rsidRPr="003D7A35">
        <w:rPr>
          <w:rFonts w:ascii="Palatino Linotype" w:hAnsi="Palatino Linotype"/>
          <w:sz w:val="18"/>
          <w:szCs w:val="18"/>
        </w:rPr>
        <w:lastRenderedPageBreak/>
        <w:t>in dMMR and pMMR.</w:t>
      </w:r>
    </w:p>
    <w:bookmarkEnd w:id="0"/>
    <w:p w14:paraId="1CC6B049" w14:textId="6FAB5A1B" w:rsidR="003D7A35" w:rsidRDefault="003D7A35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inline distT="0" distB="0" distL="0" distR="0" wp14:anchorId="386C6E0B" wp14:editId="2FDDEBC9">
            <wp:extent cx="5274310" cy="62376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3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CA0B7" w14:textId="3CF1E053" w:rsidR="003D7A35" w:rsidRPr="003D7A35" w:rsidRDefault="003D7A35">
      <w:pPr>
        <w:rPr>
          <w:rFonts w:ascii="Palatino Linotype" w:hAnsi="Palatino Linotype"/>
          <w:sz w:val="18"/>
          <w:szCs w:val="18"/>
        </w:rPr>
      </w:pPr>
      <w:r w:rsidRPr="003D7A35">
        <w:rPr>
          <w:rFonts w:ascii="Palatino Linotype" w:hAnsi="Palatino Linotype"/>
          <w:b/>
          <w:bCs/>
          <w:sz w:val="18"/>
          <w:szCs w:val="18"/>
        </w:rPr>
        <w:t>Fig</w:t>
      </w:r>
      <w:r w:rsidR="001257A4">
        <w:rPr>
          <w:rFonts w:ascii="Palatino Linotype" w:hAnsi="Palatino Linotype"/>
          <w:b/>
          <w:bCs/>
          <w:sz w:val="18"/>
          <w:szCs w:val="18"/>
        </w:rPr>
        <w:t>.</w:t>
      </w:r>
      <w:r>
        <w:rPr>
          <w:rFonts w:ascii="Palatino Linotype" w:hAnsi="Palatino Linotype"/>
          <w:b/>
          <w:bCs/>
          <w:sz w:val="18"/>
          <w:szCs w:val="18"/>
        </w:rPr>
        <w:t>S</w:t>
      </w:r>
      <w:r>
        <w:rPr>
          <w:rFonts w:ascii="Palatino Linotype" w:hAnsi="Palatino Linotype" w:hint="eastAsia"/>
          <w:b/>
          <w:bCs/>
          <w:sz w:val="18"/>
          <w:szCs w:val="18"/>
        </w:rPr>
        <w:t>2</w:t>
      </w:r>
      <w:r w:rsidRPr="003D7A35">
        <w:rPr>
          <w:rFonts w:ascii="Palatino Linotype" w:hAnsi="Palatino Linotype"/>
          <w:sz w:val="18"/>
          <w:szCs w:val="18"/>
        </w:rPr>
        <w:t xml:space="preserve"> risk curve and risk heatmap: (A) coefficient distribution chart for lasso; (B) LASSO coefficient spectrum; (C) risk curve and risk heatmap for risk model in TCGA; (D) risk curve and risk heatmap for risk model in GEO.</w:t>
      </w:r>
    </w:p>
    <w:p w14:paraId="7E6F38FA" w14:textId="309BF368" w:rsidR="003D7A35" w:rsidRDefault="003D7A35">
      <w:pPr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 w:hint="eastAsia"/>
          <w:noProof/>
          <w:sz w:val="18"/>
          <w:szCs w:val="18"/>
        </w:rPr>
        <w:lastRenderedPageBreak/>
        <w:drawing>
          <wp:inline distT="0" distB="0" distL="0" distR="0" wp14:anchorId="3352906F" wp14:editId="24EA792C">
            <wp:extent cx="5274310" cy="74314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904AC" w14:textId="3FBBEF69" w:rsidR="003D7A35" w:rsidRPr="003D7A35" w:rsidRDefault="003D7A35" w:rsidP="003D7A35">
      <w:pPr>
        <w:rPr>
          <w:rFonts w:ascii="Palatino Linotype" w:hAnsi="Palatino Linotype"/>
          <w:sz w:val="18"/>
          <w:szCs w:val="18"/>
        </w:rPr>
      </w:pPr>
      <w:r w:rsidRPr="003D7A35">
        <w:rPr>
          <w:rFonts w:ascii="Palatino Linotype" w:hAnsi="Palatino Linotype"/>
          <w:b/>
          <w:bCs/>
          <w:sz w:val="18"/>
          <w:szCs w:val="18"/>
        </w:rPr>
        <w:t>Fig</w:t>
      </w:r>
      <w:r w:rsidR="001257A4">
        <w:rPr>
          <w:rFonts w:ascii="Palatino Linotype" w:hAnsi="Palatino Linotype"/>
          <w:b/>
          <w:bCs/>
          <w:sz w:val="18"/>
          <w:szCs w:val="18"/>
        </w:rPr>
        <w:t>.</w:t>
      </w:r>
      <w:r>
        <w:rPr>
          <w:rFonts w:ascii="Palatino Linotype" w:hAnsi="Palatino Linotype"/>
          <w:b/>
          <w:bCs/>
          <w:sz w:val="18"/>
          <w:szCs w:val="18"/>
        </w:rPr>
        <w:t>S</w:t>
      </w:r>
      <w:r>
        <w:rPr>
          <w:rFonts w:ascii="Palatino Linotype" w:hAnsi="Palatino Linotype" w:hint="eastAsia"/>
          <w:b/>
          <w:bCs/>
          <w:sz w:val="18"/>
          <w:szCs w:val="18"/>
        </w:rPr>
        <w:t>3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 xml:space="preserve">Features of </w:t>
      </w:r>
      <w:r w:rsidR="009F4F5B">
        <w:rPr>
          <w:rFonts w:ascii="Palatino Linotype" w:hAnsi="Palatino Linotype"/>
          <w:sz w:val="18"/>
          <w:szCs w:val="18"/>
        </w:rPr>
        <w:t xml:space="preserve">TIMP1 </w:t>
      </w:r>
      <w:r w:rsidR="009F4F5B">
        <w:rPr>
          <w:rFonts w:ascii="Palatino Linotype" w:hAnsi="Palatino Linotype" w:hint="eastAsia"/>
          <w:sz w:val="18"/>
          <w:szCs w:val="18"/>
        </w:rPr>
        <w:t>and</w:t>
      </w:r>
      <w:r w:rsidR="009F4F5B">
        <w:rPr>
          <w:rFonts w:ascii="Palatino Linotype" w:hAnsi="Palatino Linotype"/>
          <w:sz w:val="18"/>
          <w:szCs w:val="18"/>
        </w:rPr>
        <w:t xml:space="preserve"> COMP</w:t>
      </w:r>
      <w:r w:rsidRPr="003D7A35">
        <w:rPr>
          <w:rFonts w:ascii="Palatino Linotype" w:hAnsi="Palatino Linotype"/>
          <w:sz w:val="18"/>
          <w:szCs w:val="18"/>
        </w:rPr>
        <w:t xml:space="preserve">: (A) </w:t>
      </w:r>
      <w:r w:rsidR="009F4F5B" w:rsidRPr="009F4F5B">
        <w:rPr>
          <w:rFonts w:ascii="Palatino Linotype" w:hAnsi="Palatino Linotype"/>
          <w:sz w:val="18"/>
          <w:szCs w:val="18"/>
        </w:rPr>
        <w:t>Correlation analysis</w:t>
      </w:r>
      <w:r w:rsidR="009F4F5B">
        <w:rPr>
          <w:rFonts w:ascii="Palatino Linotype" w:hAnsi="Palatino Linotype"/>
          <w:sz w:val="18"/>
          <w:szCs w:val="18"/>
        </w:rPr>
        <w:t xml:space="preserve"> by WGCNA</w:t>
      </w:r>
      <w:r w:rsidRPr="003D7A35">
        <w:rPr>
          <w:rFonts w:ascii="Palatino Linotype" w:hAnsi="Palatino Linotype"/>
          <w:sz w:val="18"/>
          <w:szCs w:val="18"/>
        </w:rPr>
        <w:t xml:space="preserve">; (B) </w:t>
      </w:r>
      <w:r w:rsidR="009F4F5B" w:rsidRPr="009F4F5B">
        <w:rPr>
          <w:rFonts w:ascii="Palatino Linotype" w:hAnsi="Palatino Linotype"/>
          <w:sz w:val="18"/>
          <w:szCs w:val="18"/>
        </w:rPr>
        <w:t>Overlapping genes of risk genes and turquoise module genes</w:t>
      </w:r>
      <w:r w:rsidRPr="003D7A35">
        <w:rPr>
          <w:rFonts w:ascii="Palatino Linotype" w:hAnsi="Palatino Linotype"/>
          <w:sz w:val="18"/>
          <w:szCs w:val="18"/>
        </w:rPr>
        <w:t xml:space="preserve">; (C) </w:t>
      </w:r>
      <w:bookmarkStart w:id="1" w:name="_Hlk124956533"/>
      <w:r w:rsidR="009F4F5B" w:rsidRPr="009F4F5B">
        <w:rPr>
          <w:rFonts w:ascii="Palatino Linotype" w:hAnsi="Palatino Linotype"/>
          <w:sz w:val="18"/>
          <w:szCs w:val="18"/>
        </w:rPr>
        <w:t xml:space="preserve">Expression of SPP1 in CRC and normal tissues </w:t>
      </w:r>
      <w:r w:rsidRPr="003D7A35">
        <w:rPr>
          <w:rFonts w:ascii="Palatino Linotype" w:hAnsi="Palatino Linotype"/>
          <w:sz w:val="18"/>
          <w:szCs w:val="18"/>
        </w:rPr>
        <w:t>in TCGA</w:t>
      </w:r>
      <w:bookmarkEnd w:id="1"/>
      <w:r w:rsidRPr="003D7A35">
        <w:rPr>
          <w:rFonts w:ascii="Palatino Linotype" w:hAnsi="Palatino Linotype"/>
          <w:sz w:val="18"/>
          <w:szCs w:val="18"/>
        </w:rPr>
        <w:t xml:space="preserve">; (D) </w:t>
      </w:r>
      <w:r w:rsidR="009F4F5B" w:rsidRPr="009F4F5B">
        <w:rPr>
          <w:rFonts w:ascii="Palatino Linotype" w:hAnsi="Palatino Linotype"/>
          <w:sz w:val="18"/>
          <w:szCs w:val="18"/>
        </w:rPr>
        <w:t xml:space="preserve">Expression of </w:t>
      </w:r>
      <w:r w:rsidR="009F4F5B">
        <w:rPr>
          <w:rFonts w:ascii="Palatino Linotype" w:hAnsi="Palatino Linotype"/>
          <w:sz w:val="18"/>
          <w:szCs w:val="18"/>
        </w:rPr>
        <w:t>TIM</w:t>
      </w:r>
      <w:r w:rsidR="009F4F5B" w:rsidRPr="009F4F5B">
        <w:rPr>
          <w:rFonts w:ascii="Palatino Linotype" w:hAnsi="Palatino Linotype"/>
          <w:sz w:val="18"/>
          <w:szCs w:val="18"/>
        </w:rPr>
        <w:t>P1 in CRC and normal tissues in TCGA</w:t>
      </w:r>
      <w:r w:rsidR="009F4F5B">
        <w:rPr>
          <w:rFonts w:ascii="Palatino Linotype" w:hAnsi="Palatino Linotype"/>
          <w:sz w:val="18"/>
          <w:szCs w:val="18"/>
        </w:rPr>
        <w:t>;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>(</w:t>
      </w:r>
      <w:r w:rsidR="009F4F5B">
        <w:rPr>
          <w:rFonts w:ascii="Palatino Linotype" w:hAnsi="Palatino Linotype"/>
          <w:sz w:val="18"/>
          <w:szCs w:val="18"/>
        </w:rPr>
        <w:t>E</w:t>
      </w:r>
      <w:r w:rsidR="009F4F5B" w:rsidRPr="009F4F5B">
        <w:rPr>
          <w:rFonts w:ascii="Palatino Linotype" w:hAnsi="Palatino Linotype"/>
          <w:sz w:val="18"/>
          <w:szCs w:val="18"/>
        </w:rPr>
        <w:t xml:space="preserve">) Expression of </w:t>
      </w:r>
      <w:r w:rsidR="009F4F5B">
        <w:rPr>
          <w:rFonts w:ascii="Palatino Linotype" w:hAnsi="Palatino Linotype"/>
          <w:sz w:val="18"/>
          <w:szCs w:val="18"/>
        </w:rPr>
        <w:t>COMP</w:t>
      </w:r>
      <w:r w:rsidR="009F4F5B" w:rsidRPr="009F4F5B">
        <w:rPr>
          <w:rFonts w:ascii="Palatino Linotype" w:hAnsi="Palatino Linotype"/>
          <w:sz w:val="18"/>
          <w:szCs w:val="18"/>
        </w:rPr>
        <w:t xml:space="preserve"> in CRC and normal tissues in TCGA;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>(</w:t>
      </w:r>
      <w:r w:rsidR="009F4F5B">
        <w:rPr>
          <w:rFonts w:ascii="Palatino Linotype" w:hAnsi="Palatino Linotype"/>
          <w:sz w:val="18"/>
          <w:szCs w:val="18"/>
        </w:rPr>
        <w:t>F</w:t>
      </w:r>
      <w:r w:rsidR="009F4F5B" w:rsidRPr="009F4F5B">
        <w:rPr>
          <w:rFonts w:ascii="Palatino Linotype" w:hAnsi="Palatino Linotype"/>
          <w:sz w:val="18"/>
          <w:szCs w:val="18"/>
        </w:rPr>
        <w:t>-</w:t>
      </w:r>
      <w:r w:rsidR="009F4F5B">
        <w:rPr>
          <w:rFonts w:ascii="Palatino Linotype" w:hAnsi="Palatino Linotype"/>
          <w:sz w:val="18"/>
          <w:szCs w:val="18"/>
        </w:rPr>
        <w:t>I</w:t>
      </w:r>
      <w:r w:rsidR="009F4F5B" w:rsidRPr="009F4F5B">
        <w:rPr>
          <w:rFonts w:ascii="Palatino Linotype" w:hAnsi="Palatino Linotype"/>
          <w:sz w:val="18"/>
          <w:szCs w:val="18"/>
        </w:rPr>
        <w:t xml:space="preserve">) the expression of </w:t>
      </w:r>
      <w:r w:rsidR="009F4F5B">
        <w:rPr>
          <w:rFonts w:ascii="Palatino Linotype" w:hAnsi="Palatino Linotype"/>
          <w:sz w:val="18"/>
          <w:szCs w:val="18"/>
        </w:rPr>
        <w:t>TIMP1</w:t>
      </w:r>
      <w:r w:rsidR="009F4F5B" w:rsidRPr="009F4F5B">
        <w:rPr>
          <w:rFonts w:ascii="Palatino Linotype" w:hAnsi="Palatino Linotype"/>
          <w:sz w:val="18"/>
          <w:szCs w:val="18"/>
        </w:rPr>
        <w:t xml:space="preserve"> in different risk groups, ACJJ stages, T stages and </w:t>
      </w:r>
      <w:r w:rsidR="009F4F5B">
        <w:rPr>
          <w:rFonts w:ascii="Palatino Linotype" w:hAnsi="Palatino Linotype"/>
          <w:sz w:val="18"/>
          <w:szCs w:val="18"/>
        </w:rPr>
        <w:t>MMR states</w:t>
      </w:r>
      <w:r w:rsidR="009F4F5B" w:rsidRPr="009F4F5B">
        <w:rPr>
          <w:rFonts w:ascii="Palatino Linotype" w:hAnsi="Palatino Linotype"/>
          <w:sz w:val="18"/>
          <w:szCs w:val="18"/>
        </w:rPr>
        <w:t>;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>(</w:t>
      </w:r>
      <w:r w:rsidR="009F4F5B">
        <w:rPr>
          <w:rFonts w:ascii="Palatino Linotype" w:hAnsi="Palatino Linotype"/>
          <w:sz w:val="18"/>
          <w:szCs w:val="18"/>
        </w:rPr>
        <w:t>J</w:t>
      </w:r>
      <w:r w:rsidR="009F4F5B" w:rsidRPr="009F4F5B">
        <w:rPr>
          <w:rFonts w:ascii="Palatino Linotype" w:hAnsi="Palatino Linotype"/>
          <w:sz w:val="18"/>
          <w:szCs w:val="18"/>
        </w:rPr>
        <w:t>-</w:t>
      </w:r>
      <w:r w:rsidR="009F4F5B">
        <w:rPr>
          <w:rFonts w:ascii="Palatino Linotype" w:hAnsi="Palatino Linotype"/>
          <w:sz w:val="18"/>
          <w:szCs w:val="18"/>
        </w:rPr>
        <w:t>M</w:t>
      </w:r>
      <w:r w:rsidR="009F4F5B" w:rsidRPr="009F4F5B">
        <w:rPr>
          <w:rFonts w:ascii="Palatino Linotype" w:hAnsi="Palatino Linotype"/>
          <w:sz w:val="18"/>
          <w:szCs w:val="18"/>
        </w:rPr>
        <w:t xml:space="preserve">) the expression of </w:t>
      </w:r>
      <w:r w:rsidR="009F4F5B">
        <w:rPr>
          <w:rFonts w:ascii="Palatino Linotype" w:hAnsi="Palatino Linotype"/>
          <w:sz w:val="18"/>
          <w:szCs w:val="18"/>
        </w:rPr>
        <w:t>COMP</w:t>
      </w:r>
      <w:r w:rsidR="009F4F5B" w:rsidRPr="009F4F5B">
        <w:rPr>
          <w:rFonts w:ascii="Palatino Linotype" w:hAnsi="Palatino Linotype"/>
          <w:sz w:val="18"/>
          <w:szCs w:val="18"/>
        </w:rPr>
        <w:t xml:space="preserve"> in different risk groups, ACJJ stages, T stages and N stages;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>(</w:t>
      </w:r>
      <w:r w:rsidR="009F4F5B">
        <w:rPr>
          <w:rFonts w:ascii="Palatino Linotype" w:hAnsi="Palatino Linotype"/>
          <w:sz w:val="18"/>
          <w:szCs w:val="18"/>
        </w:rPr>
        <w:t>N</w:t>
      </w:r>
      <w:r w:rsidR="009F4F5B" w:rsidRPr="009F4F5B">
        <w:rPr>
          <w:rFonts w:ascii="Palatino Linotype" w:hAnsi="Palatino Linotype"/>
          <w:sz w:val="18"/>
          <w:szCs w:val="18"/>
        </w:rPr>
        <w:t xml:space="preserve">) correlations between </w:t>
      </w:r>
      <w:r w:rsidR="009F4F5B">
        <w:rPr>
          <w:rFonts w:ascii="Palatino Linotype" w:hAnsi="Palatino Linotype"/>
          <w:sz w:val="18"/>
          <w:szCs w:val="18"/>
        </w:rPr>
        <w:t>TIM</w:t>
      </w:r>
      <w:r w:rsidR="009F4F5B" w:rsidRPr="009F4F5B">
        <w:rPr>
          <w:rFonts w:ascii="Palatino Linotype" w:hAnsi="Palatino Linotype"/>
          <w:sz w:val="18"/>
          <w:szCs w:val="18"/>
        </w:rPr>
        <w:t>P1 and the infiltration of different immune cells.</w:t>
      </w:r>
      <w:r w:rsidR="009F4F5B" w:rsidRPr="009F4F5B">
        <w:t xml:space="preserve"> </w:t>
      </w:r>
      <w:r w:rsidR="009F4F5B" w:rsidRPr="009F4F5B">
        <w:rPr>
          <w:rFonts w:ascii="Palatino Linotype" w:hAnsi="Palatino Linotype"/>
          <w:sz w:val="18"/>
          <w:szCs w:val="18"/>
        </w:rPr>
        <w:t xml:space="preserve">(O) correlations between </w:t>
      </w:r>
      <w:r w:rsidR="009F4F5B">
        <w:rPr>
          <w:rFonts w:ascii="Palatino Linotype" w:hAnsi="Palatino Linotype"/>
          <w:sz w:val="18"/>
          <w:szCs w:val="18"/>
        </w:rPr>
        <w:lastRenderedPageBreak/>
        <w:t>COMP</w:t>
      </w:r>
      <w:r w:rsidR="009F4F5B" w:rsidRPr="009F4F5B">
        <w:rPr>
          <w:rFonts w:ascii="Palatino Linotype" w:hAnsi="Palatino Linotype"/>
          <w:sz w:val="18"/>
          <w:szCs w:val="18"/>
        </w:rPr>
        <w:t xml:space="preserve"> and the infiltration of different immune cells.</w:t>
      </w:r>
    </w:p>
    <w:p w14:paraId="69D5A35D" w14:textId="77777777" w:rsidR="003D7A35" w:rsidRPr="003D7A35" w:rsidRDefault="003D7A35">
      <w:pPr>
        <w:rPr>
          <w:rFonts w:ascii="Palatino Linotype" w:hAnsi="Palatino Linotype"/>
          <w:sz w:val="18"/>
          <w:szCs w:val="18"/>
        </w:rPr>
      </w:pPr>
    </w:p>
    <w:sectPr w:rsidR="003D7A35" w:rsidRPr="003D7A3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F3AF56" w14:textId="77777777" w:rsidR="001005BE" w:rsidRDefault="001005BE" w:rsidP="003D7A35">
      <w:r>
        <w:separator/>
      </w:r>
    </w:p>
  </w:endnote>
  <w:endnote w:type="continuationSeparator" w:id="0">
    <w:p w14:paraId="77786FE8" w14:textId="77777777" w:rsidR="001005BE" w:rsidRDefault="001005BE" w:rsidP="003D7A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CBC3F" w14:textId="77777777" w:rsidR="001005BE" w:rsidRDefault="001005BE" w:rsidP="003D7A35">
      <w:r>
        <w:separator/>
      </w:r>
    </w:p>
  </w:footnote>
  <w:footnote w:type="continuationSeparator" w:id="0">
    <w:p w14:paraId="16A33557" w14:textId="77777777" w:rsidR="001005BE" w:rsidRDefault="001005BE" w:rsidP="003D7A3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C3F"/>
    <w:rsid w:val="001005BE"/>
    <w:rsid w:val="001257A4"/>
    <w:rsid w:val="00217956"/>
    <w:rsid w:val="003D7A35"/>
    <w:rsid w:val="009F4F5B"/>
    <w:rsid w:val="00A87C3F"/>
    <w:rsid w:val="00D07D44"/>
    <w:rsid w:val="00D52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446088"/>
  <w15:chartTrackingRefBased/>
  <w15:docId w15:val="{B28C5600-AEC9-4822-B0F7-38ACF7BB71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D7A3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D7A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D7A3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D7A3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D7A3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162</Words>
  <Characters>926</Characters>
  <Application>Microsoft Office Word</Application>
  <DocSecurity>0</DocSecurity>
  <Lines>7</Lines>
  <Paragraphs>2</Paragraphs>
  <ScaleCrop>false</ScaleCrop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奕璋 李</dc:creator>
  <cp:keywords/>
  <dc:description/>
  <cp:lastModifiedBy>奕璋 李</cp:lastModifiedBy>
  <cp:revision>3</cp:revision>
  <dcterms:created xsi:type="dcterms:W3CDTF">2023-01-18T09:32:00Z</dcterms:created>
  <dcterms:modified xsi:type="dcterms:W3CDTF">2023-02-02T05:31:00Z</dcterms:modified>
</cp:coreProperties>
</file>